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lang w:val="en-US" w:eastAsia="zh-CN"/>
        </w:rPr>
      </w:pPr>
      <w:r>
        <w:rPr>
          <w:rFonts w:hint="default" w:ascii="Times New Roman" w:hAnsi="Times New Roman" w:eastAsia="黑体" w:cs="Times New Roman"/>
          <w:b w:val="0"/>
          <w:bCs/>
          <w:color w:val="000000" w:themeColor="text1"/>
          <w:sz w:val="32"/>
          <w:szCs w:val="32"/>
          <w14:textFill>
            <w14:solidFill>
              <w14:schemeClr w14:val="tx1"/>
            </w14:solidFill>
          </w14:textFill>
        </w:rPr>
        <w:t>附</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件7</w:t>
      </w:r>
    </w:p>
    <w:p>
      <w:pPr>
        <w:spacing w:line="560" w:lineRule="exact"/>
        <w:jc w:val="center"/>
        <w:rPr>
          <w:rFonts w:hint="default" w:ascii="仿宋_GB2312" w:hAnsi="仿宋_GB2312" w:eastAsia="仿宋_GB2312" w:cs="仿宋_GB2312"/>
          <w:b w:val="0"/>
          <w:bCs/>
          <w:kern w:val="2"/>
          <w:sz w:val="32"/>
          <w:szCs w:val="32"/>
          <w:lang w:val="en-US" w:eastAsia="zh-CN" w:bidi="ar-SA"/>
        </w:rPr>
      </w:pPr>
      <w:bookmarkStart w:id="0" w:name="_GoBack"/>
      <w:r>
        <w:rPr>
          <w:rFonts w:hint="eastAsia" w:ascii="Times New Roman" w:hAnsi="Times New Roman" w:eastAsia="方正小标宋简体" w:cs="Times New Roman"/>
          <w:b w:val="0"/>
          <w:bCs/>
          <w:sz w:val="44"/>
          <w:szCs w:val="44"/>
          <w:lang w:eastAsia="zh-CN"/>
        </w:rPr>
        <w:t>关于设立</w:t>
      </w:r>
      <w:r>
        <w:rPr>
          <w:rFonts w:hint="eastAsia" w:ascii="Times New Roman" w:hAnsi="Times New Roman" w:eastAsia="方正小标宋简体" w:cs="Times New Roman"/>
          <w:b w:val="0"/>
          <w:bCs/>
          <w:sz w:val="44"/>
          <w:szCs w:val="44"/>
          <w:lang w:val="en-US" w:eastAsia="zh-CN"/>
        </w:rPr>
        <w:t>隆昌兴诚股权投资合伙企业(有限合伙）</w:t>
      </w:r>
      <w:r>
        <w:rPr>
          <w:rFonts w:hint="eastAsia" w:eastAsia="方正小标宋简体" w:cs="Times New Roman"/>
          <w:b w:val="0"/>
          <w:bCs/>
          <w:sz w:val="44"/>
          <w:szCs w:val="44"/>
          <w:lang w:val="en-US" w:eastAsia="zh-CN"/>
        </w:rPr>
        <w:t>基金</w:t>
      </w:r>
      <w:r>
        <w:rPr>
          <w:rFonts w:hint="eastAsia" w:ascii="Times New Roman" w:hAnsi="Times New Roman" w:eastAsia="方正小标宋简体" w:cs="Times New Roman"/>
          <w:b w:val="0"/>
          <w:bCs/>
          <w:sz w:val="44"/>
          <w:szCs w:val="44"/>
          <w:lang w:eastAsia="zh-CN"/>
        </w:rPr>
        <w:t>的承诺函</w:t>
      </w:r>
    </w:p>
    <w:bookmarkEnd w:id="0"/>
    <w:p>
      <w:pPr>
        <w:pStyle w:val="2"/>
        <w:keepNext w:val="0"/>
        <w:keepLines w:val="0"/>
        <w:pageBreakBefore w:val="0"/>
        <w:widowControl w:val="0"/>
        <w:kinsoku/>
        <w:wordWrap/>
        <w:overflowPunct/>
        <w:topLinePunct w:val="0"/>
        <w:autoSpaceDE/>
        <w:autoSpaceDN/>
        <w:bidi w:val="0"/>
        <w:adjustRightInd w:val="0"/>
        <w:snapToGrid/>
        <w:spacing w:line="520" w:lineRule="exact"/>
        <w:ind w:firstLine="0" w:firstLineChars="0"/>
        <w:textAlignment w:val="baseline"/>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隆昌市</w:t>
      </w:r>
      <w:r>
        <w:rPr>
          <w:rFonts w:hint="eastAsia" w:hAnsi="仿宋_GB2312" w:cs="仿宋_GB2312"/>
          <w:b w:val="0"/>
          <w:bCs/>
          <w:kern w:val="2"/>
          <w:sz w:val="32"/>
          <w:szCs w:val="32"/>
          <w:lang w:val="en-US" w:eastAsia="zh-CN" w:bidi="ar-SA"/>
        </w:rPr>
        <w:t>兴诚投资集团有限公司</w:t>
      </w:r>
      <w:r>
        <w:rPr>
          <w:rFonts w:hint="default" w:ascii="仿宋_GB2312" w:hAnsi="仿宋_GB2312" w:eastAsia="仿宋_GB2312" w:cs="仿宋_GB2312"/>
          <w:b w:val="0"/>
          <w:bCs/>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textAlignment w:val="baseline"/>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贵单位发布的《隆昌兴诚股权投资合伙企业(有限合伙）基金管理人招募公告》，我司已详细阅读，完全认可公告的所有要求并申请参与基金管理人遴选。关于设立隆昌兴诚股权投资合伙企业(有限合伙）基金的相关事宜，我司特承诺如下：</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2"/>
        <w:textAlignment w:val="baseline"/>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一、基金管理公司和</w:t>
      </w:r>
      <w:r>
        <w:rPr>
          <w:rFonts w:hint="default" w:ascii="Times New Roman" w:hAnsi="Times New Roman" w:cs="Times New Roman"/>
          <w:b/>
          <w:color w:val="000000" w:themeColor="text1"/>
          <w:sz w:val="32"/>
          <w:szCs w:val="32"/>
          <w:lang w:val="en-US" w:eastAsia="zh-CN"/>
          <w14:textFill>
            <w14:solidFill>
              <w14:schemeClr w14:val="tx1"/>
            </w14:solidFill>
          </w14:textFill>
        </w:rPr>
        <w:t>隆昌兴诚股权投资合伙企业(有限合伙）</w:t>
      </w:r>
      <w:r>
        <w:rPr>
          <w:rFonts w:hint="eastAsia" w:ascii="Times New Roman" w:hAnsi="Times New Roman" w:cs="Times New Roman"/>
          <w:b/>
          <w:color w:val="000000" w:themeColor="text1"/>
          <w:sz w:val="32"/>
          <w:szCs w:val="32"/>
          <w:lang w:val="en-US" w:eastAsia="zh-CN"/>
          <w14:textFill>
            <w14:solidFill>
              <w14:schemeClr w14:val="tx1"/>
            </w14:solidFill>
          </w14:textFill>
        </w:rPr>
        <w:t>基金</w:t>
      </w:r>
      <w:r>
        <w:rPr>
          <w:rFonts w:hint="default" w:ascii="Times New Roman" w:hAnsi="Times New Roman" w:cs="Times New Roman"/>
          <w:b/>
          <w:color w:val="000000" w:themeColor="text1"/>
          <w:sz w:val="32"/>
          <w:szCs w:val="32"/>
          <w14:textFill>
            <w14:solidFill>
              <w14:schemeClr w14:val="tx1"/>
            </w14:solidFill>
          </w14:textFill>
        </w:rPr>
        <w:t>设立承诺：</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textAlignment w:val="baseline"/>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我司承诺在此次遴选通过后，根据双方协定，高效完成基金协议签订、基金工商登记注册以及中国证券投资基金业协会产品备案等相关工作。</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2"/>
        <w:textAlignment w:val="baseline"/>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二、提交材料真实性的承诺：</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textAlignment w:val="baseline"/>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我司郑重承诺参与此次遴选所提交的所有材料均真实有效，如经贵司核实存在虚假且造成其他后果的，我司愿意承担一切责任。</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2"/>
        <w:textAlignment w:val="baseline"/>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三、其他</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textAlignment w:val="baseline"/>
        <w:rPr>
          <w:rFonts w:hint="default" w:ascii="Times New Roman" w:hAnsi="Times New Roman" w:cs="Times New Roman"/>
          <w:color w:val="000000" w:themeColor="text1"/>
          <w:sz w:val="32"/>
          <w:szCs w:val="32"/>
          <w14:textFill>
            <w14:solidFill>
              <w14:schemeClr w14:val="tx1"/>
            </w14:solidFill>
          </w14:textFill>
        </w:rPr>
      </w:pPr>
      <w:r>
        <w:rPr>
          <w:rFonts w:hint="default" w:ascii="仿宋_GB2312" w:hAnsi="仿宋_GB2312" w:eastAsia="仿宋_GB2312" w:cs="仿宋_GB2312"/>
          <w:b w:val="0"/>
          <w:bCs/>
          <w:kern w:val="2"/>
          <w:sz w:val="32"/>
          <w:szCs w:val="32"/>
          <w:lang w:val="en-US" w:eastAsia="zh-CN" w:bidi="ar-SA"/>
        </w:rPr>
        <w:t>除以上承诺外，《隆昌兴诚股权投资合伙企业(有限合伙）基金管理人招募公告》中涉及对我司的其他相关要求，我司均无异议，并全面接受。</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jc w:val="center"/>
        <w:textAlignment w:val="baseline"/>
        <w:rPr>
          <w:rFonts w:hint="default" w:ascii="仿宋_GB2312" w:hAnsi="仿宋_GB2312" w:eastAsia="仿宋_GB2312" w:cs="仿宋_GB2312"/>
          <w:b w:val="0"/>
          <w:bCs/>
          <w:kern w:val="2"/>
          <w:sz w:val="32"/>
          <w:szCs w:val="32"/>
          <w:lang w:val="en-US" w:eastAsia="zh-CN" w:bidi="ar-SA"/>
        </w:rPr>
      </w:pPr>
      <w:r>
        <w:rPr>
          <w:rFonts w:hint="default"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val="0"/>
          <w:bCs/>
          <w:kern w:val="2"/>
          <w:sz w:val="32"/>
          <w:szCs w:val="32"/>
          <w:lang w:val="en-US" w:eastAsia="zh-CN" w:bidi="ar-SA"/>
        </w:rPr>
        <w:t>承诺单位（公章）：</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600"/>
        <w:jc w:val="right"/>
        <w:textAlignment w:val="baseline"/>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法定代表人（签字）：</w:t>
      </w:r>
    </w:p>
    <w:p>
      <w:r>
        <w:rPr>
          <w:rFonts w:hint="default" w:ascii="仿宋_GB2312" w:hAnsi="仿宋_GB2312" w:eastAsia="仿宋_GB2312" w:cs="仿宋_GB2312"/>
          <w:b w:val="0"/>
          <w:bCs/>
          <w:kern w:val="2"/>
          <w:sz w:val="32"/>
          <w:szCs w:val="32"/>
          <w:lang w:val="en-US" w:eastAsia="zh-CN" w:bidi="ar-SA"/>
        </w:rPr>
        <w:t xml:space="preserve">                         </w:t>
      </w:r>
      <w:r>
        <w:rPr>
          <w:rFonts w:hint="eastAsia" w:hAnsi="仿宋_GB2312" w:cs="仿宋_GB2312"/>
          <w:b w:val="0"/>
          <w:bCs/>
          <w:kern w:val="2"/>
          <w:sz w:val="32"/>
          <w:szCs w:val="32"/>
          <w:lang w:val="en-US" w:eastAsia="zh-CN" w:bidi="ar-SA"/>
        </w:rPr>
        <w:t xml:space="preserve">         </w:t>
      </w:r>
      <w:r>
        <w:rPr>
          <w:rFonts w:hint="default" w:ascii="仿宋_GB2312" w:hAnsi="仿宋_GB2312" w:eastAsia="仿宋_GB2312" w:cs="仿宋_GB2312"/>
          <w:b w:val="0"/>
          <w:bCs/>
          <w:kern w:val="2"/>
          <w:sz w:val="32"/>
          <w:szCs w:val="32"/>
          <w:lang w:val="en-US" w:eastAsia="zh-CN" w:bidi="ar-SA"/>
        </w:rPr>
        <w:t>时间：</w:t>
      </w:r>
      <w:r>
        <w:rPr>
          <w:rFonts w:hint="eastAsia" w:hAnsi="仿宋_GB2312" w:cs="仿宋_GB2312"/>
          <w:b w:val="0"/>
          <w:bCs/>
          <w:kern w:val="2"/>
          <w:sz w:val="32"/>
          <w:szCs w:val="32"/>
          <w:lang w:val="en-US" w:eastAsia="zh-CN" w:bidi="ar-SA"/>
        </w:rPr>
        <w:t xml:space="preserve"> </w:t>
      </w:r>
      <w:r>
        <w:rPr>
          <w:rFonts w:hint="default" w:ascii="仿宋_GB2312" w:hAnsi="仿宋_GB2312" w:eastAsia="仿宋_GB2312" w:cs="仿宋_GB2312"/>
          <w:b w:val="0"/>
          <w:bCs/>
          <w:kern w:val="2"/>
          <w:sz w:val="32"/>
          <w:szCs w:val="32"/>
          <w:lang w:val="en-US" w:eastAsia="zh-CN" w:bidi="ar-SA"/>
        </w:rPr>
        <w:t>年</w:t>
      </w:r>
      <w:r>
        <w:rPr>
          <w:rFonts w:hint="eastAsia" w:ascii="仿宋_GB2312" w:hAnsi="仿宋_GB2312" w:eastAsia="仿宋_GB2312" w:cs="仿宋_GB2312"/>
          <w:b w:val="0"/>
          <w:bCs/>
          <w:kern w:val="2"/>
          <w:sz w:val="32"/>
          <w:szCs w:val="32"/>
          <w:lang w:val="en-US" w:eastAsia="zh-CN" w:bidi="ar-SA"/>
        </w:rPr>
        <w:t xml:space="preserve"> </w:t>
      </w:r>
      <w:r>
        <w:rPr>
          <w:rFonts w:hint="default" w:ascii="仿宋_GB2312" w:hAnsi="仿宋_GB2312" w:eastAsia="仿宋_GB2312" w:cs="仿宋_GB2312"/>
          <w:b w:val="0"/>
          <w:bCs/>
          <w:kern w:val="2"/>
          <w:sz w:val="32"/>
          <w:szCs w:val="32"/>
          <w:lang w:val="en-US" w:eastAsia="zh-CN" w:bidi="ar-SA"/>
        </w:rPr>
        <w:t>月</w:t>
      </w:r>
      <w:r>
        <w:rPr>
          <w:rFonts w:hint="eastAsia" w:ascii="仿宋_GB2312" w:hAnsi="仿宋_GB2312" w:eastAsia="仿宋_GB2312" w:cs="仿宋_GB2312"/>
          <w:b w:val="0"/>
          <w:bCs/>
          <w:kern w:val="2"/>
          <w:sz w:val="32"/>
          <w:szCs w:val="32"/>
          <w:lang w:val="en-US" w:eastAsia="zh-CN" w:bidi="ar-SA"/>
        </w:rPr>
        <w:t xml:space="preserve"> </w:t>
      </w:r>
      <w:r>
        <w:rPr>
          <w:rFonts w:hint="default" w:ascii="仿宋_GB2312" w:hAnsi="仿宋_GB2312" w:eastAsia="仿宋_GB2312" w:cs="仿宋_GB2312"/>
          <w:b w:val="0"/>
          <w:bCs/>
          <w:kern w:val="2"/>
          <w:sz w:val="32"/>
          <w:szCs w:val="32"/>
          <w:lang w:val="en-US" w:eastAsia="zh-CN" w:bidi="ar-SA"/>
        </w:rPr>
        <w:t>日</w:t>
      </w:r>
    </w:p>
    <w:sectPr>
      <w:footerReference r:id="rId3" w:type="default"/>
      <w:pgSz w:w="11906" w:h="16838"/>
      <w:pgMar w:top="2098" w:right="1757" w:bottom="1928" w:left="175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b w:val="0"/>
                              <w:bCs/>
                              <w:sz w:val="28"/>
                              <w:szCs w:val="28"/>
                            </w:rPr>
                          </w:pP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- 13 -</w:t>
                          </w:r>
                          <w:r>
                            <w:rPr>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b w:val="0"/>
                        <w:bCs/>
                        <w:sz w:val="28"/>
                        <w:szCs w:val="28"/>
                      </w:rPr>
                    </w:pPr>
                    <w:r>
                      <w:rPr>
                        <w:b w:val="0"/>
                        <w:bCs/>
                        <w:sz w:val="28"/>
                        <w:szCs w:val="28"/>
                      </w:rPr>
                      <w:fldChar w:fldCharType="begin"/>
                    </w:r>
                    <w:r>
                      <w:rPr>
                        <w:b w:val="0"/>
                        <w:bCs/>
                        <w:sz w:val="28"/>
                        <w:szCs w:val="28"/>
                      </w:rPr>
                      <w:instrText xml:space="preserve"> PAGE  \* MERGEFORMAT </w:instrText>
                    </w:r>
                    <w:r>
                      <w:rPr>
                        <w:b w:val="0"/>
                        <w:bCs/>
                        <w:sz w:val="28"/>
                        <w:szCs w:val="28"/>
                      </w:rPr>
                      <w:fldChar w:fldCharType="separate"/>
                    </w:r>
                    <w:r>
                      <w:rPr>
                        <w:b w:val="0"/>
                        <w:bCs/>
                        <w:sz w:val="28"/>
                        <w:szCs w:val="28"/>
                      </w:rPr>
                      <w:t>- 13 -</w:t>
                    </w:r>
                    <w:r>
                      <w:rPr>
                        <w:b w:val="0"/>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dhMzhiNmJmNzE0NzY4YTJiZmE0YzcyYjE4NDEifQ=="/>
  </w:docVars>
  <w:rsids>
    <w:rsidRoot w:val="015447AE"/>
    <w:rsid w:val="0154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heme="minorBidi"/>
      <w:b/>
      <w:kern w:val="2"/>
      <w:sz w:val="32"/>
      <w:szCs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adjustRightInd w:val="0"/>
      <w:spacing w:after="0" w:line="353" w:lineRule="auto"/>
      <w:ind w:firstLine="499"/>
      <w:textAlignment w:val="baseline"/>
    </w:pPr>
    <w:rPr>
      <w:sz w:val="28"/>
      <w:szCs w:val="20"/>
    </w:rPr>
  </w:style>
  <w:style w:type="paragraph" w:styleId="3">
    <w:name w:val="Body Text"/>
    <w:basedOn w:val="1"/>
    <w:qFormat/>
    <w:uiPriority w:val="0"/>
    <w:rPr>
      <w:rFonts w:ascii="仿宋_GB2312" w:hAnsi="宋体" w:eastAsia="仿宋_GB2312"/>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2024-01-10T01:20:00Z</dcterms:created>
  <dc:creator>隆昌市兴诚投资集团有限公司收发文</dc:creator>
  <cp:lastModifiedBy>隆昌市兴诚投资集团有限公司收发文</cp:lastModifiedBy>
  <dcterms:modified xsi:type="dcterms:W3CDTF">2024-01-10T01:21:14Z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DD3B0A3822EE46ACAAEC0F4EA5BA8938_11</vt:lpwstr>
  </property>
</Properties>
</file>